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78" w:rsidRDefault="00D85343" w:rsidP="00E95FA3">
      <w:pPr>
        <w:jc w:val="center"/>
        <w:rPr>
          <w:b/>
        </w:rPr>
      </w:pPr>
      <w:bookmarkStart w:id="0" w:name="_GoBack"/>
      <w:bookmarkEnd w:id="0"/>
      <w:r>
        <w:rPr>
          <w:b/>
        </w:rPr>
        <w:t>Directors &amp;</w:t>
      </w:r>
      <w:r w:rsidR="00F91E01">
        <w:rPr>
          <w:b/>
        </w:rPr>
        <w:t xml:space="preserve"> Officers </w:t>
      </w:r>
      <w:r w:rsidR="00622684">
        <w:rPr>
          <w:b/>
        </w:rPr>
        <w:t>Liability</w:t>
      </w:r>
      <w:r w:rsidR="001926B5">
        <w:rPr>
          <w:b/>
        </w:rPr>
        <w:t xml:space="preserve"> Comparison</w:t>
      </w:r>
      <w:r w:rsidR="00EB5AD4">
        <w:rPr>
          <w:b/>
        </w:rPr>
        <w:t xml:space="preserve"> Chart</w:t>
      </w:r>
    </w:p>
    <w:p w:rsidR="00622684" w:rsidRPr="00E95FA3" w:rsidRDefault="00622684" w:rsidP="00E95FA3">
      <w:pPr>
        <w:jc w:val="center"/>
        <w:rPr>
          <w:b/>
        </w:rPr>
      </w:pPr>
    </w:p>
    <w:p w:rsidR="00824C98" w:rsidRPr="00E95FA3" w:rsidRDefault="00001E75">
      <w:pPr>
        <w:rPr>
          <w:sz w:val="22"/>
          <w:szCs w:val="22"/>
        </w:rPr>
      </w:pPr>
      <w:r>
        <w:rPr>
          <w:sz w:val="22"/>
          <w:szCs w:val="22"/>
        </w:rPr>
        <w:t>This type of insurance</w:t>
      </w:r>
      <w:r w:rsidR="00614E78" w:rsidRPr="00E95FA3">
        <w:rPr>
          <w:sz w:val="22"/>
          <w:szCs w:val="22"/>
        </w:rPr>
        <w:t xml:space="preserve"> is usually written as a separate policy</w:t>
      </w:r>
      <w:r w:rsidR="001926B5">
        <w:rPr>
          <w:sz w:val="22"/>
          <w:szCs w:val="22"/>
        </w:rPr>
        <w:t xml:space="preserve"> from your General Liability</w:t>
      </w:r>
      <w:r w:rsidR="00614E78" w:rsidRPr="00E95FA3">
        <w:rPr>
          <w:sz w:val="22"/>
          <w:szCs w:val="22"/>
        </w:rPr>
        <w:t xml:space="preserve">. There is no standard coverage form in use today, so coverage will vary between carriers.  Common examples of options include full prior acts protection or </w:t>
      </w:r>
      <w:r w:rsidR="001926B5">
        <w:rPr>
          <w:sz w:val="22"/>
          <w:szCs w:val="22"/>
        </w:rPr>
        <w:t>defense outside limits.  Common</w:t>
      </w:r>
      <w:r w:rsidR="00614E78" w:rsidRPr="00E95FA3">
        <w:rPr>
          <w:sz w:val="22"/>
          <w:szCs w:val="22"/>
        </w:rPr>
        <w:t xml:space="preserve"> exclusions include </w:t>
      </w:r>
      <w:r w:rsidR="001926B5">
        <w:rPr>
          <w:sz w:val="22"/>
          <w:szCs w:val="22"/>
        </w:rPr>
        <w:t>intentional acts, acts of known fraud, or those which began before you had insurance.</w:t>
      </w:r>
      <w:r w:rsidR="00FA1120">
        <w:rPr>
          <w:sz w:val="22"/>
          <w:szCs w:val="22"/>
        </w:rPr>
        <w:t xml:space="preserve">  This chart identifies the most important areas </w:t>
      </w:r>
      <w:r w:rsidR="00880C72">
        <w:rPr>
          <w:sz w:val="22"/>
          <w:szCs w:val="22"/>
        </w:rPr>
        <w:t>for c</w:t>
      </w:r>
      <w:r w:rsidR="0031105B">
        <w:rPr>
          <w:sz w:val="22"/>
          <w:szCs w:val="22"/>
        </w:rPr>
        <w:t>o</w:t>
      </w:r>
      <w:r w:rsidR="00880C72">
        <w:rPr>
          <w:sz w:val="22"/>
          <w:szCs w:val="22"/>
        </w:rPr>
        <w:t>mparing terms between carriers</w:t>
      </w:r>
      <w:r w:rsidR="00D85343">
        <w:rPr>
          <w:sz w:val="22"/>
          <w:szCs w:val="22"/>
        </w:rPr>
        <w:t>.</w:t>
      </w:r>
    </w:p>
    <w:p w:rsidR="00614E78" w:rsidRPr="00D04294" w:rsidRDefault="00614E78">
      <w:pPr>
        <w:rPr>
          <w:sz w:val="20"/>
          <w:szCs w:val="20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6678"/>
        <w:gridCol w:w="1350"/>
        <w:gridCol w:w="1350"/>
      </w:tblGrid>
      <w:tr w:rsidR="00E95FA3" w:rsidTr="009A6CEA">
        <w:tc>
          <w:tcPr>
            <w:tcW w:w="6678" w:type="dxa"/>
          </w:tcPr>
          <w:p w:rsidR="00E95FA3" w:rsidRDefault="00754E0A" w:rsidP="00622684">
            <w:pPr>
              <w:jc w:val="center"/>
            </w:pPr>
            <w:r>
              <w:t>Term:</w:t>
            </w:r>
          </w:p>
        </w:tc>
        <w:tc>
          <w:tcPr>
            <w:tcW w:w="1350" w:type="dxa"/>
            <w:vAlign w:val="center"/>
          </w:tcPr>
          <w:p w:rsidR="00E95FA3" w:rsidRPr="0031105B" w:rsidRDefault="00FA1120" w:rsidP="009A6CEA">
            <w:pPr>
              <w:jc w:val="center"/>
              <w:rPr>
                <w:b/>
                <w:color w:val="1F497D" w:themeColor="text2"/>
              </w:rPr>
            </w:pPr>
            <w:r w:rsidRPr="0031105B">
              <w:rPr>
                <w:b/>
                <w:color w:val="1F497D" w:themeColor="text2"/>
              </w:rPr>
              <w:t>Company A</w:t>
            </w:r>
          </w:p>
        </w:tc>
        <w:tc>
          <w:tcPr>
            <w:tcW w:w="1350" w:type="dxa"/>
            <w:vAlign w:val="center"/>
          </w:tcPr>
          <w:p w:rsidR="00E95FA3" w:rsidRPr="0031105B" w:rsidRDefault="001E6A05" w:rsidP="009A6CEA">
            <w:pPr>
              <w:jc w:val="center"/>
              <w:rPr>
                <w:b/>
                <w:color w:val="1F497D" w:themeColor="text2"/>
              </w:rPr>
            </w:pPr>
            <w:r w:rsidRPr="0031105B">
              <w:rPr>
                <w:b/>
                <w:color w:val="1F497D" w:themeColor="text2"/>
              </w:rPr>
              <w:t>Company B</w:t>
            </w:r>
          </w:p>
        </w:tc>
      </w:tr>
      <w:tr w:rsidR="00614E78" w:rsidTr="009A6CEA">
        <w:tc>
          <w:tcPr>
            <w:tcW w:w="6678" w:type="dxa"/>
          </w:tcPr>
          <w:p w:rsidR="00614E78" w:rsidRDefault="00614E78" w:rsidP="00622684">
            <w:r w:rsidRPr="00943B0D">
              <w:rPr>
                <w:b/>
                <w:color w:val="C00000"/>
                <w:u w:val="single"/>
              </w:rPr>
              <w:t xml:space="preserve">Claims Made </w:t>
            </w:r>
            <w:r w:rsidR="00943B0D" w:rsidRPr="00943B0D">
              <w:rPr>
                <w:b/>
                <w:color w:val="C00000"/>
                <w:u w:val="single"/>
              </w:rPr>
              <w:t>vs.</w:t>
            </w:r>
            <w:r w:rsidRPr="00943B0D">
              <w:rPr>
                <w:b/>
                <w:color w:val="C00000"/>
                <w:u w:val="single"/>
              </w:rPr>
              <w:t xml:space="preserve"> Occurrence</w:t>
            </w:r>
            <w:r w:rsidRPr="00943B0D">
              <w:rPr>
                <w:color w:val="FF0000"/>
              </w:rPr>
              <w:t>:</w:t>
            </w:r>
            <w:r w:rsidR="00E95FA3">
              <w:t xml:space="preserve">  </w:t>
            </w:r>
            <w:r w:rsidRPr="00EB5AD4">
              <w:rPr>
                <w:sz w:val="20"/>
                <w:szCs w:val="20"/>
              </w:rPr>
              <w:t>Claims-made policies</w:t>
            </w:r>
            <w:r w:rsidR="00E95FA3" w:rsidRPr="00EB5AD4">
              <w:rPr>
                <w:sz w:val="20"/>
                <w:szCs w:val="20"/>
              </w:rPr>
              <w:t xml:space="preserve"> are </w:t>
            </w:r>
            <w:r w:rsidR="00943B0D" w:rsidRPr="00EB5AD4">
              <w:rPr>
                <w:sz w:val="20"/>
                <w:szCs w:val="20"/>
              </w:rPr>
              <w:t>triggered when</w:t>
            </w:r>
            <w:r w:rsidRPr="00EB5AD4">
              <w:rPr>
                <w:sz w:val="20"/>
                <w:szCs w:val="20"/>
              </w:rPr>
              <w:t xml:space="preserve"> a claim</w:t>
            </w:r>
            <w:r w:rsidR="00E95FA3" w:rsidRPr="00EB5AD4">
              <w:rPr>
                <w:sz w:val="20"/>
                <w:szCs w:val="20"/>
              </w:rPr>
              <w:t xml:space="preserve"> (a lawsuit) </w:t>
            </w:r>
            <w:r w:rsidR="00F91E01">
              <w:rPr>
                <w:sz w:val="20"/>
                <w:szCs w:val="20"/>
              </w:rPr>
              <w:t>is</w:t>
            </w:r>
            <w:r w:rsidRPr="00EB5AD4">
              <w:rPr>
                <w:sz w:val="20"/>
                <w:szCs w:val="20"/>
              </w:rPr>
              <w:t xml:space="preserve"> </w:t>
            </w:r>
            <w:r w:rsidR="00D85343" w:rsidRPr="00EB5AD4">
              <w:rPr>
                <w:sz w:val="20"/>
                <w:szCs w:val="20"/>
              </w:rPr>
              <w:t>brought</w:t>
            </w:r>
            <w:r w:rsidR="00D85343">
              <w:rPr>
                <w:sz w:val="20"/>
                <w:szCs w:val="20"/>
              </w:rPr>
              <w:t xml:space="preserve"> during</w:t>
            </w:r>
            <w:r w:rsidR="00BC0484" w:rsidRPr="00EB5AD4">
              <w:rPr>
                <w:sz w:val="20"/>
                <w:szCs w:val="20"/>
              </w:rPr>
              <w:t xml:space="preserve"> the policy term</w:t>
            </w:r>
            <w:r w:rsidR="00E95FA3" w:rsidRPr="00EB5AD4">
              <w:rPr>
                <w:sz w:val="20"/>
                <w:szCs w:val="20"/>
              </w:rPr>
              <w:t>.</w:t>
            </w:r>
            <w:r w:rsidR="00BC0484" w:rsidRPr="00EB5AD4">
              <w:rPr>
                <w:sz w:val="20"/>
                <w:szCs w:val="20"/>
              </w:rPr>
              <w:t xml:space="preserve"> </w:t>
            </w:r>
            <w:r w:rsidR="00E95FA3" w:rsidRPr="00EB5AD4">
              <w:rPr>
                <w:sz w:val="20"/>
                <w:szCs w:val="20"/>
              </w:rPr>
              <w:t xml:space="preserve"> Under</w:t>
            </w:r>
            <w:r w:rsidRPr="00EB5AD4">
              <w:rPr>
                <w:sz w:val="20"/>
                <w:szCs w:val="20"/>
              </w:rPr>
              <w:t xml:space="preserve"> “occurrence” </w:t>
            </w:r>
            <w:r w:rsidR="00E95FA3" w:rsidRPr="00EB5AD4">
              <w:rPr>
                <w:sz w:val="20"/>
                <w:szCs w:val="20"/>
              </w:rPr>
              <w:t xml:space="preserve">form, </w:t>
            </w:r>
            <w:r w:rsidRPr="00EB5AD4">
              <w:rPr>
                <w:sz w:val="20"/>
                <w:szCs w:val="20"/>
              </w:rPr>
              <w:t>the policy</w:t>
            </w:r>
            <w:r w:rsidR="00E95FA3" w:rsidRPr="00EB5AD4">
              <w:rPr>
                <w:sz w:val="20"/>
                <w:szCs w:val="20"/>
              </w:rPr>
              <w:t xml:space="preserve"> is triggered by </w:t>
            </w:r>
            <w:r w:rsidRPr="00EB5AD4">
              <w:rPr>
                <w:sz w:val="20"/>
                <w:szCs w:val="20"/>
              </w:rPr>
              <w:t xml:space="preserve">when the negligent act </w:t>
            </w:r>
            <w:r w:rsidR="00E95FA3" w:rsidRPr="00EB5AD4">
              <w:rPr>
                <w:sz w:val="20"/>
                <w:szCs w:val="20"/>
              </w:rPr>
              <w:t xml:space="preserve">actually </w:t>
            </w:r>
            <w:r w:rsidRPr="00EB5AD4">
              <w:rPr>
                <w:sz w:val="20"/>
                <w:szCs w:val="20"/>
              </w:rPr>
              <w:t>occurred.</w:t>
            </w:r>
            <w:r w:rsidR="00E95FA3" w:rsidRPr="00EB5AD4">
              <w:rPr>
                <w:sz w:val="20"/>
                <w:szCs w:val="20"/>
              </w:rPr>
              <w:t xml:space="preserve">  Occurrence policies have a long tail, since many lawsuits are brought long after </w:t>
            </w:r>
            <w:r w:rsidR="00943B0D" w:rsidRPr="00EB5AD4">
              <w:rPr>
                <w:sz w:val="20"/>
                <w:szCs w:val="20"/>
              </w:rPr>
              <w:t>the insurance</w:t>
            </w:r>
            <w:r w:rsidR="00E95FA3" w:rsidRPr="00EB5AD4">
              <w:rPr>
                <w:sz w:val="20"/>
                <w:szCs w:val="20"/>
              </w:rPr>
              <w:t xml:space="preserve"> policy has expired. </w:t>
            </w:r>
            <w:r w:rsidRPr="00EB5AD4">
              <w:rPr>
                <w:sz w:val="20"/>
                <w:szCs w:val="20"/>
              </w:rPr>
              <w:t xml:space="preserve"> Under a claims made policy, the insurance company has no further obligation to </w:t>
            </w:r>
            <w:r w:rsidR="00D85343" w:rsidRPr="00EB5AD4">
              <w:rPr>
                <w:sz w:val="20"/>
                <w:szCs w:val="20"/>
              </w:rPr>
              <w:t xml:space="preserve">defend </w:t>
            </w:r>
            <w:r w:rsidR="00D85343">
              <w:rPr>
                <w:sz w:val="20"/>
                <w:szCs w:val="20"/>
              </w:rPr>
              <w:t>(</w:t>
            </w:r>
            <w:r w:rsidRPr="00EB5AD4">
              <w:rPr>
                <w:sz w:val="20"/>
                <w:szCs w:val="20"/>
              </w:rPr>
              <w:t>unless “tail” coverage is purchased</w:t>
            </w:r>
            <w:r w:rsidR="00E95FA3" w:rsidRPr="00EB5AD4">
              <w:rPr>
                <w:sz w:val="20"/>
                <w:szCs w:val="20"/>
              </w:rPr>
              <w:t>)</w:t>
            </w:r>
            <w:r w:rsidR="00BC0484" w:rsidRPr="00EB5AD4">
              <w:rPr>
                <w:sz w:val="20"/>
                <w:szCs w:val="20"/>
              </w:rPr>
              <w:t xml:space="preserve"> after the policy term expires.</w:t>
            </w:r>
          </w:p>
        </w:tc>
        <w:tc>
          <w:tcPr>
            <w:tcW w:w="1350" w:type="dxa"/>
            <w:vAlign w:val="center"/>
          </w:tcPr>
          <w:p w:rsidR="00614E78" w:rsidRDefault="009A6CEA" w:rsidP="009A6CEA">
            <w:pPr>
              <w:jc w:val="center"/>
            </w:pPr>
            <w:r>
              <w:t>Claims Made</w:t>
            </w:r>
          </w:p>
        </w:tc>
        <w:tc>
          <w:tcPr>
            <w:tcW w:w="1350" w:type="dxa"/>
            <w:vAlign w:val="center"/>
          </w:tcPr>
          <w:p w:rsidR="00614E78" w:rsidRDefault="00A60BC0" w:rsidP="009A6CEA">
            <w:pPr>
              <w:jc w:val="center"/>
            </w:pPr>
            <w:r>
              <w:t>Claims Made</w:t>
            </w:r>
          </w:p>
        </w:tc>
      </w:tr>
      <w:tr w:rsidR="00614E78" w:rsidTr="009A6CEA">
        <w:tc>
          <w:tcPr>
            <w:tcW w:w="6678" w:type="dxa"/>
          </w:tcPr>
          <w:p w:rsidR="00614E78" w:rsidRDefault="00614E78" w:rsidP="00614E78">
            <w:r w:rsidRPr="00943B0D">
              <w:rPr>
                <w:b/>
                <w:color w:val="C00000"/>
                <w:u w:val="single"/>
              </w:rPr>
              <w:t>Retro Date</w:t>
            </w:r>
            <w:r w:rsidRPr="00943B0D">
              <w:rPr>
                <w:color w:val="C00000"/>
                <w:u w:val="single"/>
              </w:rPr>
              <w:t>:</w:t>
            </w:r>
            <w:r>
              <w:t xml:space="preserve"> </w:t>
            </w:r>
            <w:r w:rsidRPr="00EB5AD4">
              <w:rPr>
                <w:sz w:val="20"/>
                <w:szCs w:val="20"/>
              </w:rPr>
              <w:t>In a claims-made policy, only acts occurring after this date (</w:t>
            </w:r>
            <w:r w:rsidR="00943B0D" w:rsidRPr="00EB5AD4">
              <w:rPr>
                <w:sz w:val="20"/>
                <w:szCs w:val="20"/>
              </w:rPr>
              <w:t>usually</w:t>
            </w:r>
            <w:r w:rsidRPr="00EB5AD4">
              <w:rPr>
                <w:sz w:val="20"/>
                <w:szCs w:val="20"/>
              </w:rPr>
              <w:t xml:space="preserve"> the date insurance was f</w:t>
            </w:r>
            <w:r w:rsidR="00880C72">
              <w:rPr>
                <w:sz w:val="20"/>
                <w:szCs w:val="20"/>
              </w:rPr>
              <w:t>irst purchased) are covered, claims</w:t>
            </w:r>
            <w:r w:rsidRPr="00EB5AD4">
              <w:rPr>
                <w:sz w:val="20"/>
                <w:szCs w:val="20"/>
              </w:rPr>
              <w:t xml:space="preserve"> still need to be initiated during the policy term</w:t>
            </w:r>
            <w:r w:rsidR="00880C72">
              <w:rPr>
                <w:sz w:val="20"/>
                <w:szCs w:val="20"/>
              </w:rPr>
              <w:t xml:space="preserve"> (see above).</w:t>
            </w:r>
          </w:p>
        </w:tc>
        <w:tc>
          <w:tcPr>
            <w:tcW w:w="1350" w:type="dxa"/>
            <w:vAlign w:val="center"/>
          </w:tcPr>
          <w:p w:rsidR="00614E78" w:rsidRDefault="00A60BC0" w:rsidP="009A6CEA">
            <w:pPr>
              <w:jc w:val="center"/>
            </w:pPr>
            <w:r>
              <w:t>inception</w:t>
            </w:r>
          </w:p>
        </w:tc>
        <w:tc>
          <w:tcPr>
            <w:tcW w:w="1350" w:type="dxa"/>
            <w:vAlign w:val="center"/>
          </w:tcPr>
          <w:p w:rsidR="00614E78" w:rsidRDefault="00A60BC0" w:rsidP="009A6CEA">
            <w:pPr>
              <w:jc w:val="center"/>
            </w:pPr>
            <w:r>
              <w:t>inception</w:t>
            </w:r>
          </w:p>
        </w:tc>
      </w:tr>
      <w:tr w:rsidR="00614E78" w:rsidTr="009A6CEA">
        <w:tc>
          <w:tcPr>
            <w:tcW w:w="6678" w:type="dxa"/>
          </w:tcPr>
          <w:p w:rsidR="00614E78" w:rsidRDefault="00614E78" w:rsidP="00880C72">
            <w:r w:rsidRPr="00943B0D">
              <w:rPr>
                <w:b/>
                <w:color w:val="C00000"/>
                <w:u w:val="single"/>
              </w:rPr>
              <w:t>Hammer Clause</w:t>
            </w:r>
            <w:r w:rsidR="00754E0A" w:rsidRPr="00943B0D">
              <w:rPr>
                <w:b/>
                <w:color w:val="C00000"/>
                <w:u w:val="single"/>
              </w:rPr>
              <w:t>:</w:t>
            </w:r>
            <w:r>
              <w:t xml:space="preserve"> </w:t>
            </w:r>
            <w:r w:rsidR="002A725E">
              <w:t xml:space="preserve"> </w:t>
            </w:r>
            <w:r w:rsidR="002A725E" w:rsidRPr="00EB5AD4">
              <w:rPr>
                <w:sz w:val="20"/>
                <w:szCs w:val="20"/>
              </w:rPr>
              <w:t xml:space="preserve">if your insurance company reaches a settlement with the party who is suing you, this option allows you to agree or disagree with the offer.  In </w:t>
            </w:r>
            <w:r w:rsidR="00880C72">
              <w:rPr>
                <w:sz w:val="20"/>
                <w:szCs w:val="20"/>
              </w:rPr>
              <w:t>these</w:t>
            </w:r>
            <w:r w:rsidR="002A725E" w:rsidRPr="00EB5AD4">
              <w:rPr>
                <w:sz w:val="20"/>
                <w:szCs w:val="20"/>
              </w:rPr>
              <w:t xml:space="preserve"> cases, the insurance company then allows you t</w:t>
            </w:r>
            <w:r w:rsidR="00880C72">
              <w:rPr>
                <w:sz w:val="20"/>
                <w:szCs w:val="20"/>
              </w:rPr>
              <w:t>o continue on your own, but will pay only</w:t>
            </w:r>
            <w:r w:rsidR="002A725E" w:rsidRPr="00EB5AD4">
              <w:rPr>
                <w:sz w:val="20"/>
                <w:szCs w:val="20"/>
              </w:rPr>
              <w:t xml:space="preserve"> up to a </w:t>
            </w:r>
            <w:r w:rsidR="00943B0D" w:rsidRPr="00EB5AD4">
              <w:rPr>
                <w:sz w:val="20"/>
                <w:szCs w:val="20"/>
              </w:rPr>
              <w:t>specified</w:t>
            </w:r>
            <w:r w:rsidR="002A725E" w:rsidRPr="00EB5AD4">
              <w:rPr>
                <w:sz w:val="20"/>
                <w:szCs w:val="20"/>
              </w:rPr>
              <w:t xml:space="preserve"> limit.</w:t>
            </w:r>
          </w:p>
        </w:tc>
        <w:tc>
          <w:tcPr>
            <w:tcW w:w="1350" w:type="dxa"/>
            <w:vAlign w:val="center"/>
          </w:tcPr>
          <w:p w:rsidR="00614E78" w:rsidRDefault="00FA1120" w:rsidP="009A6CEA">
            <w:pPr>
              <w:jc w:val="center"/>
            </w:pPr>
            <w:r>
              <w:t>125%</w:t>
            </w:r>
          </w:p>
        </w:tc>
        <w:tc>
          <w:tcPr>
            <w:tcW w:w="1350" w:type="dxa"/>
            <w:vAlign w:val="center"/>
          </w:tcPr>
          <w:p w:rsidR="00614E78" w:rsidRDefault="00FA1120" w:rsidP="009A6CEA">
            <w:pPr>
              <w:jc w:val="center"/>
            </w:pPr>
            <w:r>
              <w:t>100%</w:t>
            </w:r>
          </w:p>
        </w:tc>
      </w:tr>
      <w:tr w:rsidR="00614E78" w:rsidTr="009A6CEA">
        <w:tc>
          <w:tcPr>
            <w:tcW w:w="6678" w:type="dxa"/>
          </w:tcPr>
          <w:p w:rsidR="00614E78" w:rsidRDefault="00614E78" w:rsidP="00754E0A">
            <w:r w:rsidRPr="00943B0D">
              <w:rPr>
                <w:b/>
                <w:color w:val="C00000"/>
                <w:u w:val="single"/>
              </w:rPr>
              <w:t>Defense “within limits” or “outside limits”</w:t>
            </w:r>
            <w:r w:rsidRPr="00943B0D">
              <w:rPr>
                <w:b/>
                <w:color w:val="C00000"/>
              </w:rPr>
              <w:t>:</w:t>
            </w:r>
            <w:r>
              <w:t xml:space="preserve"> </w:t>
            </w:r>
            <w:r w:rsidRPr="00EB5AD4">
              <w:rPr>
                <w:sz w:val="20"/>
                <w:szCs w:val="20"/>
              </w:rPr>
              <w:t xml:space="preserve">Defense costs can be </w:t>
            </w:r>
            <w:r w:rsidR="002A725E" w:rsidRPr="00EB5AD4">
              <w:rPr>
                <w:sz w:val="20"/>
                <w:szCs w:val="20"/>
              </w:rPr>
              <w:t>more expensive tha</w:t>
            </w:r>
            <w:r w:rsidR="00880C72">
              <w:rPr>
                <w:sz w:val="20"/>
                <w:szCs w:val="20"/>
              </w:rPr>
              <w:t>n actual judgments</w:t>
            </w:r>
            <w:r w:rsidR="002A725E" w:rsidRPr="00EB5AD4">
              <w:rPr>
                <w:sz w:val="20"/>
                <w:szCs w:val="20"/>
              </w:rPr>
              <w:t xml:space="preserve">.  Defense within limits means these </w:t>
            </w:r>
            <w:r w:rsidR="00754E0A" w:rsidRPr="00EB5AD4">
              <w:rPr>
                <w:sz w:val="20"/>
                <w:szCs w:val="20"/>
              </w:rPr>
              <w:t xml:space="preserve">defense </w:t>
            </w:r>
            <w:r w:rsidR="002A725E" w:rsidRPr="00EB5AD4">
              <w:rPr>
                <w:sz w:val="20"/>
                <w:szCs w:val="20"/>
              </w:rPr>
              <w:t>costs are part of your overall insurance.  A $300,000 defense under a $1,000,000 policy leaves $7</w:t>
            </w:r>
            <w:r w:rsidR="00754E0A" w:rsidRPr="00EB5AD4">
              <w:rPr>
                <w:sz w:val="20"/>
                <w:szCs w:val="20"/>
              </w:rPr>
              <w:t>0</w:t>
            </w:r>
            <w:r w:rsidR="002A725E" w:rsidRPr="00EB5AD4">
              <w:rPr>
                <w:sz w:val="20"/>
                <w:szCs w:val="20"/>
              </w:rPr>
              <w:t>0,000 for a judgment.  Defense outside limits means the amount of insurance you buy is all for judgments</w:t>
            </w:r>
            <w:r w:rsidR="00E95FA3" w:rsidRPr="00EB5AD4">
              <w:rPr>
                <w:sz w:val="20"/>
                <w:szCs w:val="20"/>
              </w:rPr>
              <w:t>… defense costs don’t count</w:t>
            </w:r>
            <w:r w:rsidR="00754E0A" w:rsidRPr="00EB5AD4">
              <w:rPr>
                <w:sz w:val="20"/>
                <w:szCs w:val="20"/>
              </w:rPr>
              <w:t xml:space="preserve"> against your limit</w:t>
            </w:r>
            <w:r w:rsidR="00E95FA3" w:rsidRPr="00EB5AD4">
              <w:rPr>
                <w:sz w:val="20"/>
                <w:szCs w:val="20"/>
              </w:rPr>
              <w:t>.</w:t>
            </w:r>
            <w:r w:rsidR="002A725E">
              <w:t xml:space="preserve">     </w:t>
            </w:r>
          </w:p>
        </w:tc>
        <w:tc>
          <w:tcPr>
            <w:tcW w:w="1350" w:type="dxa"/>
            <w:vAlign w:val="center"/>
          </w:tcPr>
          <w:p w:rsidR="00614E78" w:rsidRDefault="00A60BC0" w:rsidP="009A6CEA">
            <w:pPr>
              <w:jc w:val="center"/>
            </w:pPr>
            <w:r>
              <w:t>Within limits</w:t>
            </w:r>
          </w:p>
        </w:tc>
        <w:tc>
          <w:tcPr>
            <w:tcW w:w="1350" w:type="dxa"/>
            <w:vAlign w:val="center"/>
          </w:tcPr>
          <w:p w:rsidR="00614E78" w:rsidRDefault="00A60BC0" w:rsidP="009A6CEA">
            <w:pPr>
              <w:jc w:val="center"/>
            </w:pPr>
            <w:r>
              <w:t>Within limits</w:t>
            </w:r>
          </w:p>
        </w:tc>
      </w:tr>
      <w:tr w:rsidR="00614E78" w:rsidTr="008446A4">
        <w:trPr>
          <w:trHeight w:val="1295"/>
        </w:trPr>
        <w:tc>
          <w:tcPr>
            <w:tcW w:w="6678" w:type="dxa"/>
          </w:tcPr>
          <w:p w:rsidR="00614E78" w:rsidRDefault="00E95FA3" w:rsidP="00880C72">
            <w:r w:rsidRPr="00943B0D">
              <w:rPr>
                <w:b/>
                <w:color w:val="C00000"/>
                <w:u w:val="single"/>
              </w:rPr>
              <w:t>Extended Reporting Period</w:t>
            </w:r>
            <w:r w:rsidR="00BC0484" w:rsidRPr="00943B0D">
              <w:rPr>
                <w:b/>
                <w:color w:val="C00000"/>
                <w:u w:val="single"/>
              </w:rPr>
              <w:t xml:space="preserve"> (Tail coverage)</w:t>
            </w:r>
            <w:r w:rsidRPr="00943B0D">
              <w:rPr>
                <w:b/>
                <w:color w:val="C00000"/>
                <w:u w:val="single"/>
              </w:rPr>
              <w:t>:</w:t>
            </w:r>
            <w:r>
              <w:t xml:space="preserve"> </w:t>
            </w:r>
            <w:r w:rsidRPr="00EB5AD4">
              <w:rPr>
                <w:sz w:val="20"/>
                <w:szCs w:val="20"/>
              </w:rPr>
              <w:t>the period AFTER the policy’</w:t>
            </w:r>
            <w:r w:rsidR="00754E0A" w:rsidRPr="00EB5AD4">
              <w:rPr>
                <w:sz w:val="20"/>
                <w:szCs w:val="20"/>
              </w:rPr>
              <w:t xml:space="preserve">s expiration, for </w:t>
            </w:r>
            <w:r w:rsidRPr="00EB5AD4">
              <w:rPr>
                <w:sz w:val="20"/>
                <w:szCs w:val="20"/>
              </w:rPr>
              <w:t xml:space="preserve">a </w:t>
            </w:r>
            <w:r w:rsidR="00754E0A" w:rsidRPr="00EB5AD4">
              <w:rPr>
                <w:sz w:val="20"/>
                <w:szCs w:val="20"/>
              </w:rPr>
              <w:t>tort</w:t>
            </w:r>
            <w:r w:rsidRPr="00EB5AD4">
              <w:rPr>
                <w:sz w:val="20"/>
                <w:szCs w:val="20"/>
              </w:rPr>
              <w:t xml:space="preserve"> that had occurred</w:t>
            </w:r>
            <w:r w:rsidR="00754E0A" w:rsidRPr="00EB5AD4">
              <w:rPr>
                <w:sz w:val="20"/>
                <w:szCs w:val="20"/>
              </w:rPr>
              <w:t xml:space="preserve"> during the policy term</w:t>
            </w:r>
            <w:r w:rsidRPr="00EB5AD4">
              <w:rPr>
                <w:sz w:val="20"/>
                <w:szCs w:val="20"/>
              </w:rPr>
              <w:t>, but not reported, may sti</w:t>
            </w:r>
            <w:r w:rsidR="00754E0A" w:rsidRPr="00EB5AD4">
              <w:rPr>
                <w:sz w:val="20"/>
                <w:szCs w:val="20"/>
              </w:rPr>
              <w:t>ll be filed and honored</w:t>
            </w:r>
            <w:r w:rsidRPr="00EB5AD4">
              <w:rPr>
                <w:sz w:val="20"/>
                <w:szCs w:val="20"/>
              </w:rPr>
              <w:t xml:space="preserve">.  Most policies provide </w:t>
            </w:r>
            <w:r w:rsidR="00880C72">
              <w:rPr>
                <w:sz w:val="20"/>
                <w:szCs w:val="20"/>
              </w:rPr>
              <w:t xml:space="preserve">30 or </w:t>
            </w:r>
            <w:r w:rsidRPr="00EB5AD4">
              <w:rPr>
                <w:sz w:val="20"/>
                <w:szCs w:val="20"/>
              </w:rPr>
              <w:t>60 day mini tail</w:t>
            </w:r>
            <w:r w:rsidR="00880C72">
              <w:rPr>
                <w:sz w:val="20"/>
                <w:szCs w:val="20"/>
              </w:rPr>
              <w:t xml:space="preserve"> automatically,</w:t>
            </w:r>
            <w:r w:rsidRPr="00EB5AD4">
              <w:rPr>
                <w:sz w:val="20"/>
                <w:szCs w:val="20"/>
              </w:rPr>
              <w:t xml:space="preserve"> additional periods </w:t>
            </w:r>
            <w:r w:rsidR="00943B0D" w:rsidRPr="00EB5AD4">
              <w:rPr>
                <w:sz w:val="20"/>
                <w:szCs w:val="20"/>
              </w:rPr>
              <w:t>may</w:t>
            </w:r>
            <w:r w:rsidRPr="00EB5AD4">
              <w:rPr>
                <w:sz w:val="20"/>
                <w:szCs w:val="20"/>
              </w:rPr>
              <w:t xml:space="preserve"> be purchased for a p</w:t>
            </w:r>
            <w:r w:rsidR="00BC0484" w:rsidRPr="00EB5AD4">
              <w:rPr>
                <w:sz w:val="20"/>
                <w:szCs w:val="20"/>
              </w:rPr>
              <w:t>re-agreed amount (usually a propor</w:t>
            </w:r>
            <w:r w:rsidRPr="00EB5AD4">
              <w:rPr>
                <w:sz w:val="20"/>
                <w:szCs w:val="20"/>
              </w:rPr>
              <w:t>tion of the policy’s annual premium)</w:t>
            </w:r>
          </w:p>
        </w:tc>
        <w:tc>
          <w:tcPr>
            <w:tcW w:w="1350" w:type="dxa"/>
            <w:vAlign w:val="center"/>
          </w:tcPr>
          <w:p w:rsidR="00614E78" w:rsidRDefault="00A60BC0" w:rsidP="009A6CEA">
            <w:pPr>
              <w:jc w:val="center"/>
            </w:pPr>
            <w:r>
              <w:t>12  mo 100%</w:t>
            </w:r>
          </w:p>
        </w:tc>
        <w:tc>
          <w:tcPr>
            <w:tcW w:w="1350" w:type="dxa"/>
            <w:vAlign w:val="center"/>
          </w:tcPr>
          <w:p w:rsidR="00A60BC0" w:rsidRDefault="00A60BC0" w:rsidP="00A60BC0">
            <w:pPr>
              <w:jc w:val="center"/>
            </w:pPr>
            <w:r>
              <w:t xml:space="preserve">6 mo </w:t>
            </w:r>
          </w:p>
          <w:p w:rsidR="00614E78" w:rsidRDefault="00A60BC0" w:rsidP="00A60BC0">
            <w:pPr>
              <w:jc w:val="center"/>
            </w:pPr>
            <w:r>
              <w:t>100%</w:t>
            </w:r>
          </w:p>
        </w:tc>
      </w:tr>
      <w:tr w:rsidR="00BC0484" w:rsidTr="009A6CEA">
        <w:trPr>
          <w:trHeight w:val="260"/>
        </w:trPr>
        <w:tc>
          <w:tcPr>
            <w:tcW w:w="6678" w:type="dxa"/>
          </w:tcPr>
          <w:p w:rsidR="00BC0484" w:rsidRPr="00BC0484" w:rsidRDefault="00BC0484" w:rsidP="00943B0D">
            <w:pPr>
              <w:rPr>
                <w:sz w:val="22"/>
                <w:szCs w:val="22"/>
              </w:rPr>
            </w:pPr>
            <w:r w:rsidRPr="00943B0D">
              <w:rPr>
                <w:b/>
                <w:color w:val="C00000"/>
                <w:u w:val="single"/>
              </w:rPr>
              <w:t>Loss Prevention Services:</w:t>
            </w:r>
            <w:r w:rsidR="00943B0D" w:rsidRPr="00943B0D">
              <w:rPr>
                <w:b/>
              </w:rPr>
              <w:t xml:space="preserve"> </w:t>
            </w:r>
            <w:r w:rsidRPr="00EB5AD4">
              <w:rPr>
                <w:sz w:val="20"/>
                <w:szCs w:val="20"/>
              </w:rPr>
              <w:t xml:space="preserve">Whom can you call for guidance on </w:t>
            </w:r>
            <w:r w:rsidR="00943B0D" w:rsidRPr="00EB5AD4">
              <w:rPr>
                <w:sz w:val="20"/>
                <w:szCs w:val="20"/>
              </w:rPr>
              <w:t>potential</w:t>
            </w:r>
            <w:r w:rsidRPr="00EB5AD4">
              <w:rPr>
                <w:sz w:val="20"/>
                <w:szCs w:val="20"/>
              </w:rPr>
              <w:t xml:space="preserve"> losses?</w:t>
            </w:r>
            <w:r w:rsidR="00BE060B" w:rsidRPr="00EB5AD4">
              <w:rPr>
                <w:sz w:val="20"/>
                <w:szCs w:val="20"/>
              </w:rPr>
              <w:t xml:space="preserve">  Service BEFORE the claim.</w:t>
            </w:r>
          </w:p>
        </w:tc>
        <w:tc>
          <w:tcPr>
            <w:tcW w:w="1350" w:type="dxa"/>
            <w:vAlign w:val="center"/>
          </w:tcPr>
          <w:p w:rsidR="00BC0484" w:rsidRDefault="00BC0484" w:rsidP="009A6CEA">
            <w:pPr>
              <w:jc w:val="center"/>
            </w:pPr>
          </w:p>
        </w:tc>
        <w:tc>
          <w:tcPr>
            <w:tcW w:w="1350" w:type="dxa"/>
            <w:vAlign w:val="center"/>
          </w:tcPr>
          <w:p w:rsidR="00BC0484" w:rsidRDefault="00BC0484" w:rsidP="009A6CEA">
            <w:pPr>
              <w:jc w:val="center"/>
            </w:pPr>
          </w:p>
        </w:tc>
      </w:tr>
      <w:tr w:rsidR="00E95FA3" w:rsidTr="009A6CEA">
        <w:tc>
          <w:tcPr>
            <w:tcW w:w="6678" w:type="dxa"/>
          </w:tcPr>
          <w:p w:rsidR="00BC0484" w:rsidRPr="00BC0484" w:rsidRDefault="00B00730" w:rsidP="00622684">
            <w:pPr>
              <w:rPr>
                <w:sz w:val="22"/>
                <w:szCs w:val="22"/>
              </w:rPr>
            </w:pPr>
            <w:r w:rsidRPr="00943B0D">
              <w:rPr>
                <w:b/>
                <w:color w:val="C00000"/>
                <w:u w:val="single"/>
              </w:rPr>
              <w:t>Retention</w:t>
            </w:r>
            <w:r w:rsidRPr="00943B0D">
              <w:rPr>
                <w:color w:val="C00000"/>
              </w:rPr>
              <w:t>:</w:t>
            </w:r>
            <w:r>
              <w:t xml:space="preserve"> </w:t>
            </w:r>
            <w:r w:rsidRPr="00EB5AD4">
              <w:rPr>
                <w:sz w:val="20"/>
                <w:szCs w:val="20"/>
              </w:rPr>
              <w:t xml:space="preserve">The amount you pay before the insurance company begins to pay.  </w:t>
            </w:r>
            <w:r w:rsidR="00880C72">
              <w:rPr>
                <w:sz w:val="20"/>
                <w:szCs w:val="20"/>
              </w:rPr>
              <w:t xml:space="preserve">Similar to deductibles.  </w:t>
            </w:r>
            <w:r w:rsidRPr="00EB5AD4">
              <w:rPr>
                <w:sz w:val="20"/>
                <w:szCs w:val="20"/>
              </w:rPr>
              <w:t xml:space="preserve">Higher </w:t>
            </w:r>
            <w:r w:rsidR="00880C72">
              <w:rPr>
                <w:sz w:val="20"/>
                <w:szCs w:val="20"/>
              </w:rPr>
              <w:t>retentions lower your cost</w:t>
            </w:r>
            <w:r w:rsidRPr="00EB5AD4">
              <w:rPr>
                <w:sz w:val="20"/>
                <w:szCs w:val="20"/>
              </w:rPr>
              <w:t>.</w:t>
            </w:r>
            <w:r w:rsidR="00622684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E95FA3" w:rsidRDefault="00A60BC0" w:rsidP="009A6CEA">
            <w:pPr>
              <w:jc w:val="center"/>
            </w:pPr>
            <w:r>
              <w:t>5000</w:t>
            </w:r>
          </w:p>
        </w:tc>
        <w:tc>
          <w:tcPr>
            <w:tcW w:w="1350" w:type="dxa"/>
            <w:vAlign w:val="center"/>
          </w:tcPr>
          <w:p w:rsidR="00E95FA3" w:rsidRDefault="00A60BC0" w:rsidP="009A6CEA">
            <w:pPr>
              <w:jc w:val="center"/>
            </w:pPr>
            <w:r>
              <w:t>5000</w:t>
            </w:r>
          </w:p>
        </w:tc>
      </w:tr>
      <w:tr w:rsidR="00BC0484" w:rsidTr="009A6CEA">
        <w:tc>
          <w:tcPr>
            <w:tcW w:w="6678" w:type="dxa"/>
          </w:tcPr>
          <w:p w:rsidR="00BC0484" w:rsidRPr="00BC0484" w:rsidRDefault="00BC0484" w:rsidP="00622684">
            <w:pPr>
              <w:rPr>
                <w:sz w:val="22"/>
                <w:szCs w:val="22"/>
              </w:rPr>
            </w:pPr>
            <w:r w:rsidRPr="00943B0D">
              <w:rPr>
                <w:b/>
                <w:color w:val="C00000"/>
                <w:u w:val="single"/>
              </w:rPr>
              <w:t>Duty to Defend, or reimbursement</w:t>
            </w:r>
            <w:r w:rsidRPr="00943B0D">
              <w:rPr>
                <w:color w:val="C00000"/>
                <w:sz w:val="22"/>
                <w:szCs w:val="22"/>
              </w:rPr>
              <w:t>:</w:t>
            </w:r>
            <w:r w:rsidR="00622684">
              <w:rPr>
                <w:noProof/>
                <w:sz w:val="22"/>
                <w:szCs w:val="22"/>
              </w:rPr>
              <w:t xml:space="preserve"> </w:t>
            </w:r>
            <w:r w:rsidRPr="00EB5AD4">
              <w:rPr>
                <w:sz w:val="20"/>
                <w:szCs w:val="20"/>
              </w:rPr>
              <w:t xml:space="preserve">When the insurance company has a “duty to </w:t>
            </w:r>
            <w:r w:rsidR="00943B0D" w:rsidRPr="00EB5AD4">
              <w:rPr>
                <w:sz w:val="20"/>
                <w:szCs w:val="20"/>
              </w:rPr>
              <w:t>defend</w:t>
            </w:r>
            <w:r w:rsidRPr="00EB5AD4">
              <w:rPr>
                <w:sz w:val="20"/>
                <w:szCs w:val="20"/>
              </w:rPr>
              <w:t xml:space="preserve">” they </w:t>
            </w:r>
            <w:r w:rsidR="00943B0D" w:rsidRPr="00EB5AD4">
              <w:rPr>
                <w:sz w:val="20"/>
                <w:szCs w:val="20"/>
              </w:rPr>
              <w:t>must</w:t>
            </w:r>
            <w:r w:rsidRPr="00EB5AD4">
              <w:rPr>
                <w:sz w:val="20"/>
                <w:szCs w:val="20"/>
              </w:rPr>
              <w:t xml:space="preserve"> </w:t>
            </w:r>
            <w:r w:rsidR="00943B0D" w:rsidRPr="00EB5AD4">
              <w:rPr>
                <w:sz w:val="20"/>
                <w:szCs w:val="20"/>
              </w:rPr>
              <w:t>defend</w:t>
            </w:r>
            <w:r w:rsidRPr="00EB5AD4">
              <w:rPr>
                <w:sz w:val="20"/>
                <w:szCs w:val="20"/>
              </w:rPr>
              <w:t xml:space="preserve"> you when a “Wrongful Act” is alleged.  </w:t>
            </w:r>
            <w:r w:rsidR="00943B0D" w:rsidRPr="00EB5AD4">
              <w:rPr>
                <w:sz w:val="20"/>
                <w:szCs w:val="20"/>
              </w:rPr>
              <w:t>Reimbursement</w:t>
            </w:r>
            <w:r w:rsidRPr="00EB5AD4">
              <w:rPr>
                <w:sz w:val="20"/>
                <w:szCs w:val="20"/>
              </w:rPr>
              <w:t xml:space="preserve"> requires that you make payments to defense team, and are subsequently reimbursed for acceptable expenses.</w:t>
            </w:r>
          </w:p>
        </w:tc>
        <w:tc>
          <w:tcPr>
            <w:tcW w:w="1350" w:type="dxa"/>
            <w:vAlign w:val="center"/>
          </w:tcPr>
          <w:p w:rsidR="00BC0484" w:rsidRDefault="00FA1120" w:rsidP="009A6CEA">
            <w:pPr>
              <w:jc w:val="center"/>
            </w:pPr>
            <w:r>
              <w:t>reimburse</w:t>
            </w:r>
          </w:p>
        </w:tc>
        <w:tc>
          <w:tcPr>
            <w:tcW w:w="1350" w:type="dxa"/>
            <w:vAlign w:val="center"/>
          </w:tcPr>
          <w:p w:rsidR="00BC0484" w:rsidRDefault="00FA1120" w:rsidP="009A6CEA">
            <w:pPr>
              <w:jc w:val="center"/>
            </w:pPr>
            <w:r>
              <w:t>reimburse</w:t>
            </w:r>
          </w:p>
        </w:tc>
      </w:tr>
      <w:tr w:rsidR="00F91E01" w:rsidTr="009A6CEA">
        <w:tc>
          <w:tcPr>
            <w:tcW w:w="6678" w:type="dxa"/>
          </w:tcPr>
          <w:p w:rsidR="00F91E01" w:rsidRPr="00F91E01" w:rsidRDefault="00F91E01" w:rsidP="00880C7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C00000"/>
                <w:u w:val="single"/>
              </w:rPr>
              <w:t>Employment Practices Liability:</w:t>
            </w:r>
            <w:r w:rsidRPr="00F91E01">
              <w:rPr>
                <w:color w:val="C00000"/>
              </w:rPr>
              <w:t xml:space="preserve"> </w:t>
            </w:r>
            <w:r w:rsidRPr="00F91E01">
              <w:rPr>
                <w:color w:val="000000" w:themeColor="text1"/>
                <w:sz w:val="20"/>
                <w:szCs w:val="20"/>
              </w:rPr>
              <w:t xml:space="preserve">Lawsuits arising from </w:t>
            </w:r>
            <w:r>
              <w:rPr>
                <w:color w:val="000000" w:themeColor="text1"/>
                <w:sz w:val="20"/>
                <w:szCs w:val="20"/>
              </w:rPr>
              <w:t>alleged wrongful termination, discri</w:t>
            </w:r>
            <w:r w:rsidR="00880C72">
              <w:rPr>
                <w:color w:val="000000" w:themeColor="text1"/>
                <w:sz w:val="20"/>
                <w:szCs w:val="20"/>
              </w:rPr>
              <w:t>m</w:t>
            </w:r>
            <w:r>
              <w:rPr>
                <w:color w:val="000000" w:themeColor="text1"/>
                <w:sz w:val="20"/>
                <w:szCs w:val="20"/>
              </w:rPr>
              <w:t xml:space="preserve">ination, </w:t>
            </w:r>
            <w:r w:rsidR="00D85343">
              <w:rPr>
                <w:color w:val="000000" w:themeColor="text1"/>
                <w:sz w:val="20"/>
                <w:szCs w:val="20"/>
              </w:rPr>
              <w:t>harassment</w:t>
            </w:r>
            <w:r>
              <w:rPr>
                <w:color w:val="000000" w:themeColor="text1"/>
                <w:sz w:val="20"/>
                <w:szCs w:val="20"/>
              </w:rPr>
              <w:t xml:space="preserve">, and other employment related claims may be included </w:t>
            </w:r>
          </w:p>
        </w:tc>
        <w:tc>
          <w:tcPr>
            <w:tcW w:w="1350" w:type="dxa"/>
            <w:vAlign w:val="center"/>
          </w:tcPr>
          <w:p w:rsidR="00F91E01" w:rsidRDefault="00F91E01" w:rsidP="009A6CEA">
            <w:pPr>
              <w:jc w:val="center"/>
            </w:pPr>
          </w:p>
        </w:tc>
        <w:tc>
          <w:tcPr>
            <w:tcW w:w="1350" w:type="dxa"/>
            <w:vAlign w:val="center"/>
          </w:tcPr>
          <w:p w:rsidR="00F91E01" w:rsidRDefault="00F91E01" w:rsidP="009A6CEA">
            <w:pPr>
              <w:jc w:val="center"/>
            </w:pPr>
          </w:p>
        </w:tc>
      </w:tr>
      <w:tr w:rsidR="00BC0484" w:rsidTr="009A6CEA">
        <w:tc>
          <w:tcPr>
            <w:tcW w:w="6678" w:type="dxa"/>
          </w:tcPr>
          <w:p w:rsidR="00BC0484" w:rsidRPr="00943B0D" w:rsidRDefault="008446A4" w:rsidP="008446A4">
            <w:pPr>
              <w:jc w:val="right"/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 xml:space="preserve">Annual </w:t>
            </w:r>
            <w:r w:rsidR="00BC0484" w:rsidRPr="00943B0D">
              <w:rPr>
                <w:b/>
                <w:color w:val="C00000"/>
                <w:u w:val="single"/>
              </w:rPr>
              <w:t>Cost:</w:t>
            </w:r>
          </w:p>
        </w:tc>
        <w:tc>
          <w:tcPr>
            <w:tcW w:w="1350" w:type="dxa"/>
            <w:vAlign w:val="center"/>
          </w:tcPr>
          <w:p w:rsidR="00BC0484" w:rsidRDefault="00BC0484" w:rsidP="009A6CEA">
            <w:pPr>
              <w:jc w:val="center"/>
            </w:pPr>
          </w:p>
        </w:tc>
        <w:tc>
          <w:tcPr>
            <w:tcW w:w="1350" w:type="dxa"/>
            <w:vAlign w:val="center"/>
          </w:tcPr>
          <w:p w:rsidR="00BC0484" w:rsidRDefault="00BC0484" w:rsidP="009A6CEA">
            <w:pPr>
              <w:jc w:val="center"/>
            </w:pPr>
          </w:p>
        </w:tc>
      </w:tr>
    </w:tbl>
    <w:p w:rsidR="007F623A" w:rsidRDefault="007F623A" w:rsidP="00622684"/>
    <w:p w:rsidR="00C45889" w:rsidRDefault="007F623A" w:rsidP="00622684">
      <w:pPr>
        <w:rPr>
          <w:i/>
          <w:noProof/>
          <w:sz w:val="22"/>
          <w:szCs w:val="22"/>
        </w:rPr>
      </w:pPr>
      <w:r w:rsidRPr="007F623A">
        <w:rPr>
          <w:i/>
          <w:sz w:val="22"/>
          <w:szCs w:val="22"/>
        </w:rPr>
        <w:t>Note: the chart above is intended as a tool for comparing different Directors &amp; Officers Liability policies and is not complete.  Always engage a knowledgeable professional for this non-standardized kind of insurance.  Consult competent legal counsel for all legal matters.</w:t>
      </w:r>
      <w:r w:rsidR="00C45889" w:rsidRPr="00C45889">
        <w:rPr>
          <w:i/>
          <w:noProof/>
          <w:sz w:val="22"/>
          <w:szCs w:val="22"/>
        </w:rPr>
        <w:t xml:space="preserve"> </w:t>
      </w:r>
    </w:p>
    <w:p w:rsidR="00C45889" w:rsidRDefault="00C45889" w:rsidP="00622684">
      <w:pPr>
        <w:rPr>
          <w:i/>
          <w:noProof/>
          <w:sz w:val="22"/>
          <w:szCs w:val="22"/>
        </w:rPr>
      </w:pPr>
    </w:p>
    <w:p w:rsidR="00614E78" w:rsidRPr="007F623A" w:rsidRDefault="00C45889" w:rsidP="00622684">
      <w:pPr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inline distT="0" distB="0" distL="0" distR="0" wp14:anchorId="7292865F" wp14:editId="7A39F08E">
            <wp:extent cx="5486400" cy="459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I-Web-Banner- footer Word header 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E78" w:rsidRPr="007F623A" w:rsidSect="007F623A">
      <w:pgSz w:w="12240" w:h="15840"/>
      <w:pgMar w:top="81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78"/>
    <w:rsid w:val="00001E75"/>
    <w:rsid w:val="000E4EE4"/>
    <w:rsid w:val="001549C6"/>
    <w:rsid w:val="001926B5"/>
    <w:rsid w:val="001C067E"/>
    <w:rsid w:val="001E6A05"/>
    <w:rsid w:val="002A725E"/>
    <w:rsid w:val="0031105B"/>
    <w:rsid w:val="004D6A3B"/>
    <w:rsid w:val="005A7D54"/>
    <w:rsid w:val="00614E78"/>
    <w:rsid w:val="00622684"/>
    <w:rsid w:val="00683AF9"/>
    <w:rsid w:val="006D1296"/>
    <w:rsid w:val="006F3C21"/>
    <w:rsid w:val="00754E0A"/>
    <w:rsid w:val="007F623A"/>
    <w:rsid w:val="00824C98"/>
    <w:rsid w:val="008446A4"/>
    <w:rsid w:val="00880C72"/>
    <w:rsid w:val="00926368"/>
    <w:rsid w:val="00943B0D"/>
    <w:rsid w:val="009A6CEA"/>
    <w:rsid w:val="00A60BC0"/>
    <w:rsid w:val="00B00730"/>
    <w:rsid w:val="00B767A0"/>
    <w:rsid w:val="00BC0484"/>
    <w:rsid w:val="00BE060B"/>
    <w:rsid w:val="00C037DA"/>
    <w:rsid w:val="00C45889"/>
    <w:rsid w:val="00D04294"/>
    <w:rsid w:val="00D14196"/>
    <w:rsid w:val="00D26018"/>
    <w:rsid w:val="00D85343"/>
    <w:rsid w:val="00DA5A2B"/>
    <w:rsid w:val="00E95FA3"/>
    <w:rsid w:val="00EA0C44"/>
    <w:rsid w:val="00EB5AD4"/>
    <w:rsid w:val="00F91E01"/>
    <w:rsid w:val="00FA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C231D-83CE-44F5-BCAA-DB20D549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C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4E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622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2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 Gordon Insurance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Gordon</dc:creator>
  <cp:lastModifiedBy>Maggie Thompson</cp:lastModifiedBy>
  <cp:revision>2</cp:revision>
  <cp:lastPrinted>2008-12-12T18:23:00Z</cp:lastPrinted>
  <dcterms:created xsi:type="dcterms:W3CDTF">2017-06-08T14:13:00Z</dcterms:created>
  <dcterms:modified xsi:type="dcterms:W3CDTF">2017-06-08T14:13:00Z</dcterms:modified>
</cp:coreProperties>
</file>